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03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69"/>
        <w:gridCol w:w="4680"/>
      </w:tblGrid>
      <w:tr>
        <w:trPr/>
        <w:tc>
          <w:tcPr>
            <w:tcW w:w="5669" w:type="dxa"/>
            <w:tcBorders/>
            <w:shd w:color="auto" w:fill="auto" w:val="clear"/>
          </w:tcPr>
          <w:p>
            <w:pPr>
              <w:pStyle w:val="Style17"/>
              <w:widowControl w:val="false"/>
              <w:spacing w:lineRule="auto" w:line="240"/>
              <w:rPr>
                <w:rFonts w:ascii="Times New Roman" w:hAnsi="Times New Roman"/>
                <w:sz w:val="20"/>
                <w:lang w:eastAsia="ru-RU"/>
              </w:rPr>
            </w:pPr>
            <w:r>
              <w:rPr/>
              <w:drawing>
                <wp:inline distT="0" distB="0" distL="0" distR="0">
                  <wp:extent cx="3343275" cy="1289050"/>
                  <wp:effectExtent l="0" t="0" r="0" b="0"/>
                  <wp:docPr id="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8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ind w:left="290" w:hanging="0"/>
              <w:jc w:val="center"/>
              <w:rPr>
                <w:rFonts w:eastAsia="Times New Roman"/>
                <w:sz w:val="30"/>
                <w:szCs w:val="20"/>
                <w:lang w:eastAsia="ru-RU"/>
              </w:rPr>
            </w:pPr>
            <w:r>
              <w:rPr>
                <w:rFonts w:eastAsia="Times New Roman"/>
                <w:sz w:val="30"/>
                <w:szCs w:val="20"/>
                <w:lang w:eastAsia="ru-RU"/>
              </w:rPr>
            </w:r>
          </w:p>
        </w:tc>
      </w:tr>
    </w:tbl>
    <w:p>
      <w:pPr>
        <w:pStyle w:val="Normal"/>
        <w:spacing w:lineRule="auto" w:line="360" w:before="0" w:after="0"/>
        <w:jc w:val="right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sz w:val="48"/>
          <w:szCs w:val="48"/>
        </w:rPr>
      </w:pPr>
      <w:r>
        <w:rPr>
          <w:sz w:val="48"/>
          <w:szCs w:val="48"/>
        </w:rPr>
        <w:t>«Технологии информационного моделирования BIM»</w:t>
      </w:r>
    </w:p>
    <w:p>
      <w:pPr>
        <w:pStyle w:val="Normal"/>
        <w:spacing w:lineRule="auto" w:line="240" w:before="0" w:after="0"/>
        <w:jc w:val="center"/>
        <w:rPr>
          <w:sz w:val="48"/>
          <w:szCs w:val="48"/>
        </w:rPr>
      </w:pPr>
      <w:r>
        <w:rPr>
          <w:sz w:val="48"/>
          <w:szCs w:val="48"/>
        </w:rPr>
        <w:t>Основная</w:t>
      </w:r>
    </w:p>
    <w:p>
      <w:pPr>
        <w:pStyle w:val="Normal"/>
        <w:spacing w:lineRule="auto" w:line="240" w:before="0" w:after="0"/>
        <w:jc w:val="center"/>
        <w:rPr>
          <w:sz w:val="48"/>
          <w:szCs w:val="48"/>
        </w:rPr>
      </w:pPr>
      <w:r>
        <w:rPr>
          <w:sz w:val="48"/>
          <w:szCs w:val="48"/>
        </w:rPr>
        <w:t>Финальный этап Чемпионата</w:t>
      </w:r>
    </w:p>
    <w:p>
      <w:pPr>
        <w:pStyle w:val="Normal"/>
        <w:spacing w:lineRule="auto" w:line="240" w:before="0" w:after="0"/>
        <w:jc w:val="center"/>
        <w:rPr>
          <w:sz w:val="48"/>
          <w:szCs w:val="48"/>
        </w:rPr>
      </w:pPr>
      <w:r>
        <w:rPr>
          <w:sz w:val="48"/>
          <w:szCs w:val="48"/>
        </w:rPr>
        <w:t>по профессиональному мастерству «Профессионалы» в 2025 г</w:t>
      </w:r>
    </w:p>
    <w:p>
      <w:pPr>
        <w:pStyle w:val="Normal"/>
        <w:spacing w:lineRule="auto" w:line="240" w:before="0" w:after="0"/>
        <w:jc w:val="center"/>
        <w:rPr>
          <w:sz w:val="48"/>
          <w:szCs w:val="48"/>
        </w:rPr>
      </w:pPr>
      <w:r>
        <w:rPr>
          <w:sz w:val="48"/>
          <w:szCs w:val="48"/>
        </w:rPr>
        <w:t>Нижний Новгород</w:t>
      </w:r>
    </w:p>
    <w:p>
      <w:pPr>
        <w:pStyle w:val="Normal"/>
        <w:spacing w:lineRule="auto" w:line="240" w:before="0" w:after="0"/>
        <w:jc w:val="center"/>
        <w:rPr>
          <w:sz w:val="48"/>
          <w:szCs w:val="48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sz w:val="48"/>
          <w:szCs w:val="48"/>
        </w:rPr>
      </w:pPr>
      <w:r>
        <w:rPr>
          <w:sz w:val="48"/>
          <w:szCs w:val="48"/>
        </w:rPr>
      </w:r>
    </w:p>
    <w:p>
      <w:pPr>
        <w:pStyle w:val="Normal"/>
        <w:spacing w:lineRule="atLeast" w:line="100" w:before="0" w:after="0"/>
        <w:jc w:val="center"/>
        <w:rPr>
          <w:sz w:val="36"/>
          <w:szCs w:val="36"/>
        </w:rPr>
      </w:pPr>
      <w:bookmarkStart w:id="0" w:name="_Hlk139350936"/>
      <w:bookmarkEnd w:id="0"/>
      <w:r>
        <w:rPr>
          <w:rFonts w:eastAsia="Arial Unicode MS"/>
          <w:sz w:val="36"/>
          <w:szCs w:val="36"/>
        </w:rPr>
        <w:t>Приложение 5</w:t>
      </w:r>
    </w:p>
    <w:p>
      <w:pPr>
        <w:pStyle w:val="Normal"/>
        <w:spacing w:lineRule="atLeast" w:line="100" w:before="0" w:after="0"/>
        <w:jc w:val="center"/>
        <w:rPr>
          <w:sz w:val="36"/>
          <w:szCs w:val="36"/>
        </w:rPr>
      </w:pPr>
      <w:r>
        <w:rPr>
          <w:sz w:val="36"/>
          <w:szCs w:val="36"/>
        </w:rPr>
        <w:t>Требования к уровню проработки элементов ЦИМ</w:t>
      </w:r>
    </w:p>
    <w:p>
      <w:pPr>
        <w:pStyle w:val="Normal"/>
        <w:spacing w:lineRule="auto" w:line="240" w:before="0" w:after="0"/>
        <w:jc w:val="center"/>
        <w:rPr>
          <w:sz w:val="24"/>
        </w:rPr>
      </w:pPr>
      <w:r>
        <w:rPr>
          <w:sz w:val="24"/>
        </w:rPr>
      </w:r>
      <w:bookmarkStart w:id="1" w:name="_Hlk139350936_Копия_1"/>
      <w:bookmarkStart w:id="2" w:name="_Hlk139350936_Копия_1"/>
      <w:bookmarkEnd w:id="2"/>
    </w:p>
    <w:p>
      <w:pPr>
        <w:pStyle w:val="Normal"/>
        <w:spacing w:lineRule="auto" w:line="360" w:before="0" w:after="0"/>
        <w:jc w:val="center"/>
        <w:rPr>
          <w:rFonts w:eastAsia="Arial Unicode MS"/>
          <w:sz w:val="72"/>
          <w:szCs w:val="72"/>
        </w:rPr>
      </w:pPr>
      <w:r>
        <w:rPr>
          <w:rFonts w:eastAsia="Arial Unicode MS"/>
          <w:sz w:val="72"/>
          <w:szCs w:val="72"/>
        </w:rPr>
      </w:r>
    </w:p>
    <w:p>
      <w:pPr>
        <w:pStyle w:val="Normal"/>
        <w:spacing w:lineRule="auto" w:line="360" w:before="0" w:after="0"/>
        <w:jc w:val="center"/>
        <w:rPr>
          <w:rFonts w:eastAsia="Arial Unicode MS"/>
          <w:sz w:val="72"/>
          <w:szCs w:val="72"/>
        </w:rPr>
      </w:pPr>
      <w:r>
        <w:rPr>
          <w:rFonts w:eastAsia="Arial Unicode MS"/>
          <w:sz w:val="72"/>
          <w:szCs w:val="72"/>
        </w:rPr>
      </w:r>
    </w:p>
    <w:p>
      <w:pPr>
        <w:pStyle w:val="Normal"/>
        <w:spacing w:lineRule="auto" w:line="360" w:before="0" w:after="0"/>
        <w:jc w:val="center"/>
        <w:rPr>
          <w:rFonts w:eastAsia="Arial Unicode MS"/>
          <w:sz w:val="72"/>
          <w:szCs w:val="72"/>
        </w:rPr>
      </w:pPr>
      <w:r>
        <w:rPr>
          <w:rFonts w:eastAsia="Arial Unicode MS"/>
          <w:sz w:val="72"/>
          <w:szCs w:val="72"/>
        </w:rPr>
      </w:r>
    </w:p>
    <w:p>
      <w:pPr>
        <w:pStyle w:val="Normal"/>
        <w:spacing w:lineRule="auto" w:line="360" w:before="0" w:after="0"/>
        <w:rPr>
          <w:lang w:bidi="en-US"/>
        </w:rPr>
      </w:pPr>
      <w:r>
        <w:rPr>
          <w:lang w:bidi="en-US"/>
        </w:rPr>
      </w:r>
    </w:p>
    <w:p>
      <w:pPr>
        <w:pStyle w:val="Normal"/>
        <w:spacing w:lineRule="auto" w:line="360" w:before="0" w:after="0"/>
        <w:rPr>
          <w:lang w:bidi="en-US"/>
        </w:rPr>
      </w:pPr>
      <w:r>
        <w:rPr>
          <w:lang w:bidi="en-US"/>
        </w:rPr>
      </w:r>
    </w:p>
    <w:p>
      <w:pPr>
        <w:pStyle w:val="Normal"/>
        <w:spacing w:lineRule="auto" w:line="360" w:before="0" w:after="0"/>
        <w:rPr>
          <w:lang w:bidi="en-US"/>
        </w:rPr>
      </w:pPr>
      <w:r>
        <w:rPr>
          <w:lang w:bidi="en-US"/>
        </w:rPr>
      </w:r>
    </w:p>
    <w:p>
      <w:pPr>
        <w:pStyle w:val="Normal"/>
        <w:spacing w:lineRule="auto" w:line="360" w:before="0" w:after="0"/>
        <w:jc w:val="center"/>
        <w:rPr/>
      </w:pPr>
      <w:r>
        <w:rPr>
          <w:lang w:bidi="en-US"/>
        </w:rPr>
        <w:t>2025 г</w:t>
      </w:r>
      <w:r>
        <w:br w:type="page"/>
      </w:r>
    </w:p>
    <w:p>
      <w:pPr>
        <w:pStyle w:val="ListParagraph"/>
        <w:numPr>
          <w:ilvl w:val="0"/>
          <w:numId w:val="1"/>
        </w:numPr>
        <w:spacing w:before="0" w:after="200"/>
        <w:ind w:left="283" w:hanging="357"/>
        <w:contextualSpacing w:val="false"/>
        <w:rPr/>
      </w:pPr>
      <w:r>
        <w:rPr/>
        <w:t xml:space="preserve">ЦИМ должна быть представлена как сводная цифровая трехмерная модель в виде структурированного множества элементов ЦИМ в прориетарном формате разработки. (формат </w:t>
      </w:r>
      <w:r>
        <w:rPr>
          <w:lang w:val="en-US"/>
        </w:rPr>
        <w:t xml:space="preserve">RNP </w:t>
      </w:r>
      <w:r>
        <w:rPr/>
        <w:t xml:space="preserve">для </w:t>
      </w:r>
      <w:r>
        <w:rPr>
          <w:lang w:val="en-US"/>
        </w:rPr>
        <w:t>Renga)</w:t>
      </w:r>
    </w:p>
    <w:p>
      <w:pPr>
        <w:pStyle w:val="ListParagraph"/>
        <w:numPr>
          <w:ilvl w:val="0"/>
          <w:numId w:val="1"/>
        </w:numPr>
        <w:spacing w:before="0" w:after="200"/>
        <w:ind w:left="284" w:hanging="284"/>
        <w:contextualSpacing w:val="false"/>
        <w:rPr/>
      </w:pPr>
      <w:r>
        <w:rPr/>
        <w:t xml:space="preserve">Каждый элемент ЦИМ должен быть выполнен, в рамках консолидированной модели, объектом конкретного класса </w:t>
      </w:r>
      <w:r>
        <w:rPr>
          <w:lang w:val="en-US"/>
        </w:rPr>
        <w:t>IFC</w:t>
      </w:r>
      <w:r>
        <w:rPr/>
        <w:t xml:space="preserve">. Класс </w:t>
      </w:r>
      <w:r>
        <w:rPr>
          <w:lang w:val="en-US"/>
        </w:rPr>
        <w:t>IFC</w:t>
      </w:r>
      <w:r>
        <w:rPr/>
        <w:t xml:space="preserve"> для каждого типа элемента ЦИМ определяется схемой </w:t>
      </w:r>
      <w:r>
        <w:rPr>
          <w:lang w:val="en-US"/>
        </w:rPr>
        <w:t>IFC</w:t>
      </w:r>
      <w:r>
        <w:rPr/>
        <w:t xml:space="preserve"> Version 4.1.0.0. Помимо этого, элементам, указанным в задании, необходимо указывать предопределенный класс </w:t>
      </w:r>
      <w:r>
        <w:rPr>
          <w:lang w:val="en-US"/>
        </w:rPr>
        <w:t>IFC</w:t>
      </w:r>
      <w:r>
        <w:rPr/>
        <w:t xml:space="preserve"> в соответствии со схемой </w:t>
      </w:r>
      <w:r>
        <w:rPr>
          <w:lang w:val="en-US"/>
        </w:rPr>
        <w:t>TypeEnum</w:t>
      </w:r>
      <w:r>
        <w:rPr/>
        <w:t xml:space="preserve"> для рассматриваемого класса.</w:t>
      </w:r>
    </w:p>
    <w:p>
      <w:pPr>
        <w:pStyle w:val="ListParagraph"/>
        <w:numPr>
          <w:ilvl w:val="0"/>
          <w:numId w:val="1"/>
        </w:numPr>
        <w:spacing w:before="0" w:after="200"/>
        <w:ind w:left="284" w:hanging="284"/>
        <w:contextualSpacing w:val="false"/>
        <w:rPr/>
      </w:pPr>
      <w:r>
        <w:rPr/>
        <w:t xml:space="preserve">При размещении элементов ЦИМ относительно уровня 0.000 следует учитывать функцию конструкции и соотносить ее с классом схемы </w:t>
      </w:r>
      <w:r>
        <w:rPr>
          <w:lang w:val="en-US"/>
        </w:rPr>
        <w:t>IFC</w:t>
      </w:r>
      <w:r>
        <w:rPr/>
        <w:t xml:space="preserve"> исходя из расположения относительно уровня.</w:t>
      </w:r>
    </w:p>
    <w:p>
      <w:pPr>
        <w:pStyle w:val="ListParagraph"/>
        <w:numPr>
          <w:ilvl w:val="0"/>
          <w:numId w:val="1"/>
        </w:numPr>
        <w:spacing w:before="0" w:after="200"/>
        <w:ind w:left="283" w:hanging="357"/>
        <w:contextualSpacing w:val="false"/>
        <w:rPr/>
      </w:pPr>
      <w:r>
        <w:rPr/>
        <w:t>Элемент ЦИМ должен быть представлен набором атрибутов, описывающим его свойства, и связанным с ним графическим представлением.</w:t>
      </w:r>
    </w:p>
    <w:p>
      <w:pPr>
        <w:pStyle w:val="ListParagraph"/>
        <w:numPr>
          <w:ilvl w:val="0"/>
          <w:numId w:val="1"/>
        </w:numPr>
        <w:spacing w:before="0" w:after="200"/>
        <w:ind w:left="283" w:hanging="357"/>
        <w:contextualSpacing w:val="false"/>
        <w:rPr/>
      </w:pPr>
      <w:r>
        <w:rPr/>
        <w:t>Моделирование всех элементов ОКС должно проводиться в соответствии с их истинными размерами в масштабе 1:1, в метрической системе измерений (единицы измерения - мм) по предоставленным чертежам.</w:t>
      </w:r>
    </w:p>
    <w:p>
      <w:pPr>
        <w:pStyle w:val="ListParagraph"/>
        <w:numPr>
          <w:ilvl w:val="0"/>
          <w:numId w:val="1"/>
        </w:numPr>
        <w:spacing w:before="0" w:after="200"/>
        <w:ind w:left="283" w:hanging="357"/>
        <w:contextualSpacing w:val="false"/>
        <w:rPr/>
      </w:pPr>
      <w:r>
        <w:rPr/>
        <w:t>Все элементы, отображающие в сводной цифровой трехмерной модели одну конструкцию, трубопровод, сантехническое и иное оборудование, должны быть выделены в группы элементов.</w:t>
      </w:r>
    </w:p>
    <w:p>
      <w:pPr>
        <w:pStyle w:val="ListParagraph"/>
        <w:numPr>
          <w:ilvl w:val="0"/>
          <w:numId w:val="1"/>
        </w:numPr>
        <w:spacing w:before="0" w:after="200"/>
        <w:ind w:left="283" w:hanging="357"/>
        <w:contextualSpacing w:val="false"/>
        <w:rPr/>
      </w:pPr>
      <w:r>
        <w:rPr/>
        <w:t>Атрибутивное описание элемента ЦИМ должно соответствовать требованиям в Модуле Г КЗ, а также соответствовать требованиям к выбранному уровню информационного наполнения.</w:t>
      </w:r>
    </w:p>
    <w:p>
      <w:pPr>
        <w:pStyle w:val="ListParagraph"/>
        <w:numPr>
          <w:ilvl w:val="0"/>
          <w:numId w:val="1"/>
        </w:numPr>
        <w:spacing w:before="0" w:after="200"/>
        <w:ind w:left="283" w:hanging="357"/>
        <w:contextualSpacing w:val="false"/>
        <w:rPr/>
      </w:pPr>
      <w:r>
        <w:rPr/>
        <w:t xml:space="preserve">Команда конкурсантов, должна выбрать соответствующий уровень наполнения ЦИМ при выполнении КЗ. </w:t>
      </w:r>
    </w:p>
    <w:p>
      <w:pPr>
        <w:pStyle w:val="ListParagraph"/>
        <w:numPr>
          <w:ilvl w:val="0"/>
          <w:numId w:val="1"/>
        </w:numPr>
        <w:spacing w:before="0" w:after="200"/>
        <w:ind w:left="283" w:hanging="357"/>
        <w:contextualSpacing w:val="false"/>
        <w:rPr/>
      </w:pPr>
      <w:r>
        <w:rPr/>
        <w:t xml:space="preserve"> </w:t>
      </w:r>
      <w:r>
        <w:rPr/>
        <w:t xml:space="preserve">Согласно заданию Модуля Г, необходимо, чтобы элемент ЦИМ консолидированной модели в формате </w:t>
      </w:r>
      <w:r>
        <w:rPr>
          <w:lang w:val="en-US"/>
        </w:rPr>
        <w:t>IFC</w:t>
      </w:r>
      <w:r>
        <w:rPr/>
        <w:t xml:space="preserve"> имел атрибуты в пользовательских наборах параметров «Pset_</w:t>
      </w:r>
      <w:r>
        <w:rPr>
          <w:lang w:val="en-US"/>
        </w:rPr>
        <w:t>Final</w:t>
      </w:r>
      <w:r>
        <w:rPr/>
        <w:t>» и «Pset_Quantities»</w:t>
      </w:r>
    </w:p>
    <w:p>
      <w:pPr>
        <w:pStyle w:val="ListParagraph"/>
        <w:numPr>
          <w:ilvl w:val="0"/>
          <w:numId w:val="1"/>
        </w:numPr>
        <w:spacing w:before="0" w:after="200"/>
        <w:ind w:left="284" w:hanging="357"/>
        <w:contextualSpacing w:val="false"/>
        <w:rPr/>
      </w:pPr>
      <w:r>
        <w:rPr/>
        <w:t>Пользовательский набор параметров «Pset_</w:t>
      </w:r>
      <w:r>
        <w:rPr>
          <w:lang w:val="en-US"/>
        </w:rPr>
        <w:t>Final</w:t>
      </w:r>
      <w:r>
        <w:rPr/>
        <w:t>» должен содержат атрибуты и их значения: «Марка», «Марка группы», «Тип группы», «Порядковый номер в группе». Значения атрибута «Порядковый номер в группе» заполняются опционально в зависимости от требований в модулях КЗ.</w:t>
      </w:r>
    </w:p>
    <w:p>
      <w:pPr>
        <w:pStyle w:val="Normal"/>
        <w:rPr/>
      </w:pPr>
      <w:r>
        <w:rPr/>
        <w:t>Значение атрибута «Марка» должно быть получено методом реляционного маппирования и не должно быть пустым (опционально).</w:t>
      </w:r>
    </w:p>
    <w:p>
      <w:pPr>
        <w:pStyle w:val="Normal"/>
        <w:rPr/>
      </w:pPr>
      <w:r>
        <w:rPr/>
        <w:t>Тип атрибутов: «Марка», «Марка группы», «Тип группы» - Строка (или Текст); атрибута «Порядковый номер в группе» - Целое число (без запятой и нулей после – т.е. число НЕ с плавающей точкой)</w:t>
      </w:r>
    </w:p>
    <w:p>
      <w:pPr>
        <w:pStyle w:val="ListParagraph"/>
        <w:numPr>
          <w:ilvl w:val="0"/>
          <w:numId w:val="1"/>
        </w:numPr>
        <w:ind w:left="284" w:hanging="360"/>
        <w:rPr/>
      </w:pPr>
      <w:r>
        <w:rPr/>
        <w:t>Значение атрибута «Тип группы» необходимо присвоить в зависимости от Типа раздела по представленным чертежам:</w:t>
      </w:r>
    </w:p>
    <w:p>
      <w:pPr>
        <w:pStyle w:val="Standard"/>
        <w:numPr>
          <w:ilvl w:val="0"/>
          <w:numId w:val="2"/>
        </w:numPr>
        <w:spacing w:lineRule="auto" w:line="360" w:before="0" w:after="0"/>
        <w:contextualSpacing/>
        <w:jc w:val="both"/>
        <w:rPr/>
      </w:pPr>
      <w:r>
        <w:rPr>
          <w:sz w:val="28"/>
          <w:szCs w:val="28"/>
        </w:rPr>
        <w:t>для архитектурно-планировочных решений – группа «Архитектура»;</w:t>
      </w:r>
    </w:p>
    <w:p>
      <w:pPr>
        <w:pStyle w:val="Standard"/>
        <w:numPr>
          <w:ilvl w:val="0"/>
          <w:numId w:val="2"/>
        </w:numPr>
        <w:spacing w:lineRule="auto" w:line="360" w:before="0" w:after="0"/>
        <w:contextualSpacing/>
        <w:jc w:val="both"/>
        <w:rPr/>
      </w:pPr>
      <w:r>
        <w:rPr>
          <w:sz w:val="28"/>
          <w:szCs w:val="28"/>
        </w:rPr>
        <w:t>для железобетонных и бетонных конструкций – группа «Железобетонные конструкции»;</w:t>
      </w:r>
    </w:p>
    <w:p>
      <w:pPr>
        <w:pStyle w:val="Standard"/>
        <w:numPr>
          <w:ilvl w:val="0"/>
          <w:numId w:val="2"/>
        </w:numPr>
        <w:spacing w:lineRule="auto" w:line="360" w:before="0" w:after="0"/>
        <w:contextualSpacing/>
        <w:jc w:val="both"/>
        <w:rPr/>
      </w:pPr>
      <w:r>
        <w:rPr>
          <w:sz w:val="28"/>
          <w:szCs w:val="28"/>
        </w:rPr>
        <w:t>для металлических конструкций – группа «Металлические конструкции»;</w:t>
      </w:r>
    </w:p>
    <w:p>
      <w:pPr>
        <w:pStyle w:val="Standard"/>
        <w:numPr>
          <w:ilvl w:val="0"/>
          <w:numId w:val="2"/>
        </w:numPr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инженерных сетей – группа «Инженерные сети»;</w:t>
      </w:r>
    </w:p>
    <w:p>
      <w:pPr>
        <w:pStyle w:val="Standard"/>
        <w:numPr>
          <w:ilvl w:val="0"/>
          <w:numId w:val="2"/>
        </w:numPr>
        <w:spacing w:lineRule="auto" w:line="360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оборудования на </w:t>
      </w:r>
      <w:r>
        <w:rPr>
          <w:sz w:val="28"/>
          <w:szCs w:val="28"/>
          <w:lang w:val="en-US"/>
        </w:rPr>
        <w:t>STDL</w:t>
      </w:r>
      <w:r>
        <w:rPr>
          <w:sz w:val="28"/>
          <w:szCs w:val="28"/>
        </w:rPr>
        <w:t xml:space="preserve"> – «Оборудование»</w:t>
      </w:r>
    </w:p>
    <w:p>
      <w:pPr>
        <w:pStyle w:val="ListParagraph"/>
        <w:spacing w:before="0" w:after="200"/>
        <w:ind w:left="284" w:hanging="0"/>
        <w:contextualSpacing w:val="false"/>
        <w:rPr/>
      </w:pPr>
      <w:r>
        <w:rPr/>
        <w:t>Необходимо определить правильное наименование «Тип группы» группы для экземпляров Стен в зависимости от их функции.</w:t>
      </w:r>
    </w:p>
    <w:p>
      <w:pPr>
        <w:pStyle w:val="ListParagraph"/>
        <w:numPr>
          <w:ilvl w:val="0"/>
          <w:numId w:val="1"/>
        </w:numPr>
        <w:spacing w:before="0" w:after="200"/>
        <w:ind w:left="284" w:hanging="360"/>
        <w:contextualSpacing w:val="false"/>
        <w:rPr/>
      </w:pPr>
      <w:r>
        <w:rPr/>
        <w:t>Пользовательский набор параметров «Pset_Quantities» должен содержать следующие атрибуты, указанные в таблице в зависимости от типа элемента ЦИМ.</w:t>
      </w:r>
    </w:p>
    <w:tbl>
      <w:tblPr>
        <w:tblW w:w="1039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02"/>
        <w:gridCol w:w="2015"/>
        <w:gridCol w:w="1732"/>
        <w:gridCol w:w="2071"/>
        <w:gridCol w:w="1395"/>
        <w:gridCol w:w="1375"/>
      </w:tblGrid>
      <w:tr>
        <w:trPr>
          <w:trHeight w:val="315" w:hRule="atLeast"/>
        </w:trPr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10" w:firstLine="11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Тип элемента ЦИМ</w:t>
            </w:r>
          </w:p>
        </w:tc>
        <w:tc>
          <w:tcPr>
            <w:tcW w:w="20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Стена</w:t>
            </w:r>
          </w:p>
        </w:tc>
        <w:tc>
          <w:tcPr>
            <w:tcW w:w="17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Перекрытие</w:t>
            </w:r>
          </w:p>
        </w:tc>
        <w:tc>
          <w:tcPr>
            <w:tcW w:w="2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Окно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Дверь</w:t>
            </w:r>
          </w:p>
        </w:tc>
        <w:tc>
          <w:tcPr>
            <w:tcW w:w="13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Колонна</w:t>
            </w:r>
          </w:p>
        </w:tc>
      </w:tr>
      <w:tr>
        <w:trPr>
          <w:trHeight w:val="315" w:hRule="atLeast"/>
        </w:trPr>
        <w:tc>
          <w:tcPr>
            <w:tcW w:w="1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val="en-US" w:eastAsia="ru-RU"/>
              </w:rPr>
              <w:t>IFC</w:t>
            </w:r>
            <w:r>
              <w:rPr>
                <w:rFonts w:eastAsia="Times New Roman"/>
                <w:kern w:val="0"/>
                <w:sz w:val="24"/>
                <w:lang w:eastAsia="ru-RU"/>
              </w:rPr>
              <w:t xml:space="preserve"> класс (включая предопределенные классы)</w:t>
            </w:r>
          </w:p>
        </w:tc>
        <w:tc>
          <w:tcPr>
            <w:tcW w:w="20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IfcWall</w:t>
            </w:r>
          </w:p>
        </w:tc>
        <w:tc>
          <w:tcPr>
            <w:tcW w:w="17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IfcSlab</w:t>
            </w:r>
          </w:p>
        </w:tc>
        <w:tc>
          <w:tcPr>
            <w:tcW w:w="20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IfcWindow</w:t>
            </w:r>
          </w:p>
        </w:tc>
        <w:tc>
          <w:tcPr>
            <w:tcW w:w="1395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IfcDoor</w:t>
            </w:r>
          </w:p>
        </w:tc>
        <w:tc>
          <w:tcPr>
            <w:tcW w:w="13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 xml:space="preserve">IfcColumn </w:t>
            </w:r>
          </w:p>
        </w:tc>
      </w:tr>
      <w:tr>
        <w:trPr>
          <w:trHeight w:val="630" w:hRule="atLeast"/>
        </w:trPr>
        <w:tc>
          <w:tcPr>
            <w:tcW w:w="1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Наименование атрибута</w:t>
            </w:r>
          </w:p>
        </w:tc>
        <w:tc>
          <w:tcPr>
            <w:tcW w:w="20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color w:val="000000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lang w:eastAsia="ru-RU"/>
              </w:rPr>
              <w:t>Длина, Высота, Чистый вес</w:t>
            </w:r>
          </w:p>
        </w:tc>
        <w:tc>
          <w:tcPr>
            <w:tcW w:w="17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Чистый вес, Толщина</w:t>
            </w:r>
          </w:p>
        </w:tc>
        <w:tc>
          <w:tcPr>
            <w:tcW w:w="207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Ширина, Высота</w:t>
            </w:r>
          </w:p>
        </w:tc>
        <w:tc>
          <w:tcPr>
            <w:tcW w:w="1395" w:type="dxa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Ширина, Высота</w:t>
            </w:r>
          </w:p>
        </w:tc>
        <w:tc>
          <w:tcPr>
            <w:tcW w:w="13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eastAsia="Times New Roman"/>
                <w:kern w:val="0"/>
                <w:sz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lang w:eastAsia="ru-RU"/>
              </w:rPr>
              <w:t>Длинна</w:t>
            </w:r>
          </w:p>
        </w:tc>
      </w:tr>
    </w:tbl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ind w:left="426" w:hanging="360"/>
        <w:rPr/>
      </w:pPr>
      <w:r>
        <w:rPr/>
        <w:t>Файлы маппирования Типов классов IFC и параметров, должны быть размещены в папке СОД на диске Pilot-Storage, с маркером состояния: «Файл загружен полностью»</w:t>
      </w:r>
    </w:p>
    <w:p>
      <w:pPr>
        <w:pStyle w:val="ListParagraph"/>
        <w:numPr>
          <w:ilvl w:val="0"/>
          <w:numId w:val="1"/>
        </w:numPr>
        <w:ind w:left="426" w:hanging="360"/>
        <w:rPr/>
      </w:pPr>
      <w:r>
        <w:rPr/>
        <w:t>Необходимо для следующих Типов элементов — Стена, Перекрытие, Окно, Дверь, Колонна -  произвести маппирование параметров по правилам с СП 333.1325800.2020. Параметры выбираются экспертами или главным экспертом в С-2.</w:t>
      </w:r>
    </w:p>
    <w:p>
      <w:pPr>
        <w:pStyle w:val="ListParagraph"/>
        <w:ind w:left="426" w:hanging="0"/>
        <w:rPr>
          <w:i/>
          <w:i/>
        </w:rPr>
      </w:pPr>
      <w:bookmarkStart w:id="3" w:name="_GoBack"/>
      <w:r>
        <w:rPr>
          <w:i/>
        </w:rPr>
        <w:t>Например, Стены, таблица Д72. Параметры: «Тип по назначению» - Строка, «Тип по функциональному назначению» - Строка, «Количество слоев» - Целое число</w:t>
      </w:r>
      <w:bookmarkEnd w:id="3"/>
    </w:p>
    <w:p>
      <w:pPr>
        <w:pStyle w:val="ListParagraph"/>
        <w:spacing w:before="0" w:after="200"/>
        <w:ind w:left="851" w:hanging="0"/>
        <w:contextualSpacing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768a4"/>
    <w:pPr>
      <w:widowControl/>
      <w:suppressAutoHyphens w:val="true"/>
      <w:bidi w:val="0"/>
      <w:spacing w:lineRule="auto" w:line="276" w:before="0" w:after="200"/>
      <w:jc w:val="both"/>
    </w:pPr>
    <w:rPr>
      <w:rFonts w:ascii="Times New Roman" w:hAnsi="Times New Roman" w:eastAsia="DejaVu Sans" w:cs="Times New Roman"/>
      <w:color w:val="00000A"/>
      <w:kern w:val="2"/>
      <w:sz w:val="28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1768a4"/>
    <w:rPr>
      <w:rFonts w:ascii="Arial" w:hAnsi="Arial" w:eastAsia="Times New Roman" w:cs="Times New Roman"/>
      <w:color w:val="00000A"/>
      <w:kern w:val="2"/>
      <w:sz w:val="24"/>
      <w:szCs w:val="20"/>
      <w:lang w:val="en-AU"/>
    </w:rPr>
  </w:style>
  <w:style w:type="character" w:styleId="Style15" w:customStyle="1">
    <w:name w:val="Маркеры"/>
    <w:qFormat/>
    <w:rPr>
      <w:rFonts w:ascii="OpenSymbol" w:hAnsi="OpenSymbol" w:eastAsia="OpenSymbol" w:cs="OpenSymbol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link w:val="Style14"/>
    <w:rsid w:val="001768a4"/>
    <w:pPr>
      <w:widowControl w:val="false"/>
      <w:spacing w:lineRule="auto" w:line="360" w:before="0" w:after="0"/>
    </w:pPr>
    <w:rPr>
      <w:rFonts w:ascii="Arial" w:hAnsi="Arial" w:eastAsia="Times New Roman"/>
      <w:sz w:val="24"/>
      <w:szCs w:val="20"/>
      <w:lang w:val="en-AU"/>
    </w:rPr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Title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202387"/>
    <w:pPr>
      <w:spacing w:before="0" w:after="200"/>
      <w:ind w:left="720" w:hanging="0"/>
      <w:contextualSpacing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DejaVu Sans" w:cs="Times New Roman"/>
      <w:color w:val="auto"/>
      <w:kern w:val="2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4074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Application>LibreOffice/7.5.4.2$Windows_X86_64 LibreOffice_project/36ccfdc35048b057fd9854c757a8b67ec53977b6</Application>
  <AppVersion>15.0000</AppVersion>
  <Pages>4</Pages>
  <Words>510</Words>
  <Characters>3413</Characters>
  <CharactersWithSpaces>3866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2023-06-23T10:54:00Z</dcterms:created>
  <dc:creator>Sergey</dc:creator>
  <dc:description/>
  <dc:language>ru-RU</dc:language>
  <cp:lastModifiedBy/>
  <cp:lastPrinted>2023-07-04T01:32:00Z</cp:lastPrinted>
  <dcterms:modified xsi:type="dcterms:W3CDTF">2025-04-29T08:29:35Z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